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D7D3D" w14:textId="0A43355D"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GRENADA</w:t>
      </w:r>
    </w:p>
    <w:p w14:paraId="0B0A77A3" w14:textId="77777777"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2B9C600A" w14:textId="77777777"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STATUTORY RULES AND ORDERS</w:t>
      </w:r>
    </w:p>
    <w:p w14:paraId="291D1F79" w14:textId="77777777"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760A79D1" w14:textId="01C26AC9" w:rsidR="00EB558D" w:rsidRPr="00415E23" w:rsidRDefault="00EB558D" w:rsidP="00415E23">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 xml:space="preserve">NO.     </w:t>
      </w: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b/>
        <w:t>OF 2022</w:t>
      </w:r>
    </w:p>
    <w:p w14:paraId="0AF02C9B" w14:textId="77777777"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78278237" w14:textId="3AEBFC84" w:rsidR="00EB558D" w:rsidRPr="00415E23" w:rsidRDefault="00EB558D" w:rsidP="00EB558D">
      <w:pPr>
        <w:jc w:val="cente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RESOLUTION FOR THE PURPOSES OF SECTION 56 OF THE PUBLIC FINANCE MANAGEMENT ACT, NO. 17 OF 2015.</w:t>
      </w:r>
    </w:p>
    <w:p w14:paraId="3589B477" w14:textId="77777777" w:rsidR="00EB558D" w:rsidRDefault="00EB558D" w:rsidP="00EB558D">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1A874D3B" w14:textId="77777777" w:rsidR="00415E23" w:rsidRPr="00415E23" w:rsidRDefault="00415E23" w:rsidP="00EB558D">
      <w:pPr>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pPr>
    </w:p>
    <w:p w14:paraId="7EDD146A" w14:textId="7F0BB296"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WHEREAS</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section 56 (1) of the Public Finance Management Act No. 17 of 2015 (hereinafter referred to as “the Act”) provides </w:t>
      </w:r>
      <w:r w:rsidRPr="00415E23">
        <w:rPr>
          <w:rFonts w:ascii="Bookman Old Style" w:hAnsi="Bookman Old Style"/>
          <w:i/>
          <w:iCs/>
          <w:color w:val="000000" w:themeColor="text1"/>
          <w:lang w:val="en-US"/>
          <w14:shadow w14:blurRad="50800" w14:dist="38100" w14:dir="2700000" w14:sx="100000" w14:sy="100000" w14:kx="0" w14:ky="0" w14:algn="tl">
            <w14:srgbClr w14:val="000000">
              <w14:alpha w14:val="60000"/>
            </w14:srgbClr>
          </w14:shadow>
        </w:rPr>
        <w:t>inter alia</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that no money shall be raised on the credit of the Government of Grenada except under the authority of this Act or under an Act of Parliament or a Resolution of the House of Representatives;</w:t>
      </w:r>
    </w:p>
    <w:p w14:paraId="7ECF2704" w14:textId="6C18AE79"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0682260D" w14:textId="77777777"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 xml:space="preserve">WHEREAS </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section 56 (2) of the Act provides </w:t>
      </w:r>
      <w:r w:rsidRPr="00E86133">
        <w:rPr>
          <w:rFonts w:ascii="Bookman Old Style" w:hAnsi="Bookman Old Style"/>
          <w:i/>
          <w:color w:val="000000" w:themeColor="text1"/>
          <w:lang w:val="en-US"/>
          <w14:shadow w14:blurRad="50800" w14:dist="38100" w14:dir="2700000" w14:sx="100000" w14:sy="100000" w14:kx="0" w14:ky="0" w14:algn="tl">
            <w14:srgbClr w14:val="000000">
              <w14:alpha w14:val="60000"/>
            </w14:srgbClr>
          </w14:shadow>
        </w:rPr>
        <w:t>inter alia</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that the Minister of Finance may borrow when </w:t>
      </w:r>
      <w:proofErr w:type="spellStart"/>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authorised</w:t>
      </w:r>
      <w:proofErr w:type="spellEnd"/>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by Resolution of the House of Representatives </w:t>
      </w:r>
      <w:r w:rsidRPr="00D76426">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money</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on behalf of the Government of Grenada in any form and from any legitimate source on terms and conditions to be agreed with the creditor;</w:t>
      </w:r>
    </w:p>
    <w:p w14:paraId="49FA81C3" w14:textId="77777777"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2A50E2CB" w14:textId="77777777"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WHEREAS</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it is further provided that the amount shall not exceed in the aggregate the sum specified in the Resolution;</w:t>
      </w:r>
    </w:p>
    <w:p w14:paraId="7C194E20" w14:textId="77777777"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71D70D4B" w14:textId="5EA3F913"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AND WHEREAS</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it is expedient that the Minister of Finance be </w:t>
      </w:r>
      <w:proofErr w:type="spellStart"/>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authorised</w:t>
      </w:r>
      <w:proofErr w:type="spellEnd"/>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by a Resolution of the House of Representatives to borrow on behalf of the Government of Grenada, money to an amount not exceeding in the aggregate the sum of Three Hundred and Fifty Million Eastern Caribbean Dollars (EC$350,000,000.00) to meet current expenditure req</w:t>
      </w:r>
      <w:bookmarkStart w:id="0" w:name="_GoBack"/>
      <w:bookmarkEnd w:id="0"/>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uirements;</w:t>
      </w:r>
    </w:p>
    <w:p w14:paraId="6225F732" w14:textId="77777777" w:rsidR="00EB558D" w:rsidRPr="00415E23" w:rsidRDefault="00EB558D" w:rsidP="00EB558D">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p>
    <w:p w14:paraId="09EA5910" w14:textId="2DE0093C" w:rsidR="00EB558D" w:rsidRPr="00415E23" w:rsidRDefault="00EB558D" w:rsidP="00B64BC1">
      <w:pPr>
        <w:jc w:val="both"/>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lang w:val="en-US"/>
          <w14:shadow w14:blurRad="50800" w14:dist="38100" w14:dir="2700000" w14:sx="100000" w14:sy="100000" w14:kx="0" w14:ky="0" w14:algn="tl">
            <w14:srgbClr w14:val="000000">
              <w14:alpha w14:val="60000"/>
            </w14:srgbClr>
          </w14:shadow>
        </w:rPr>
        <w:t>NOW THEREFORE BE IT RESOLVED</w:t>
      </w:r>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that the House of Representatives hereby </w:t>
      </w:r>
      <w:proofErr w:type="spellStart"/>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authorises</w:t>
      </w:r>
      <w:proofErr w:type="spellEnd"/>
      <w:r w:rsidRPr="00415E23">
        <w:rPr>
          <w:rFonts w:ascii="Bookman Old Style" w:hAnsi="Bookman Old Style"/>
          <w:color w:val="000000" w:themeColor="text1"/>
          <w:lang w:val="en-US"/>
          <w14:shadow w14:blurRad="50800" w14:dist="38100" w14:dir="2700000" w14:sx="100000" w14:sy="100000" w14:kx="0" w14:ky="0" w14:algn="tl">
            <w14:srgbClr w14:val="000000">
              <w14:alpha w14:val="60000"/>
            </w14:srgbClr>
          </w14:shadow>
        </w:rPr>
        <w:t xml:space="preserve"> the Minister of Finance to borrow on behalf of the Government of Grenada money to an amount not exceeding in the aggregate the sum of Three Hundred and Fifty Million Eastern Caribbean Dollars (EC$350,000,000.00) for the period January 1st to December 31st, 2023.</w:t>
      </w:r>
    </w:p>
    <w:p w14:paraId="7DDE4209" w14:textId="77777777" w:rsidR="00EB558D" w:rsidRPr="00415E23" w:rsidRDefault="00EB558D" w:rsidP="00EB558D">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52984E9A" w14:textId="77777777" w:rsidR="00EB558D" w:rsidRPr="00415E23" w:rsidRDefault="00EB558D" w:rsidP="00EB558D">
      <w:pP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p>
    <w:p w14:paraId="2FFFA047" w14:textId="48BEFB22" w:rsidR="00EB558D" w:rsidRPr="00415E23" w:rsidRDefault="00EB558D" w:rsidP="00EB558D">
      <w:pPr>
        <w:jc w:val="cente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415E23">
        <w:rPr>
          <w:rFonts w:ascii="Bookman Old Style" w:hAnsi="Bookman Old Style"/>
          <w:color w:val="000000" w:themeColor="text1"/>
          <w14:shadow w14:blurRad="50800" w14:dist="38100" w14:dir="2700000" w14:sx="100000" w14:sy="100000" w14:kx="0" w14:ky="0" w14:algn="tl">
            <w14:srgbClr w14:val="000000">
              <w14:alpha w14:val="60000"/>
            </w14:srgbClr>
          </w14:shadow>
        </w:rPr>
        <w:t>Passed by the House of Representatives this          day of                , 2022.</w:t>
      </w:r>
    </w:p>
    <w:p w14:paraId="36021931" w14:textId="77777777" w:rsidR="00EB558D" w:rsidRPr="00415E23" w:rsidRDefault="00EB558D" w:rsidP="00EB558D">
      <w:pPr>
        <w:jc w:val="cente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98D3928" w14:textId="77777777" w:rsidR="00EB558D" w:rsidRPr="00415E23" w:rsidRDefault="00EB558D" w:rsidP="00EB558D">
      <w:pPr>
        <w:jc w:val="center"/>
        <w:rPr>
          <w:rFonts w:ascii="Bookman Old Style" w:hAnsi="Bookman Old Style"/>
          <w:color w:val="000000" w:themeColor="text1"/>
          <w14:shadow w14:blurRad="50800" w14:dist="38100" w14:dir="2700000" w14:sx="100000" w14:sy="100000" w14:kx="0" w14:ky="0" w14:algn="tl">
            <w14:srgbClr w14:val="000000">
              <w14:alpha w14:val="60000"/>
            </w14:srgbClr>
          </w14:shadow>
        </w:rPr>
      </w:pPr>
    </w:p>
    <w:p w14:paraId="09D66A88" w14:textId="77777777" w:rsidR="00EB558D" w:rsidRPr="00415E23" w:rsidRDefault="00EB558D" w:rsidP="00EB558D">
      <w:pPr>
        <w:jc w:val="center"/>
        <w:rPr>
          <w:rFonts w:ascii="Bookman Old Style" w:hAnsi="Bookman Old Style"/>
          <w:color w:val="000000" w:themeColor="text1"/>
          <w14:shadow w14:blurRad="50800" w14:dist="38100" w14:dir="2700000" w14:sx="100000" w14:sy="100000" w14:kx="0" w14:ky="0" w14:algn="tl">
            <w14:srgbClr w14:val="000000">
              <w14:alpha w14:val="60000"/>
            </w14:srgbClr>
          </w14:shadow>
        </w:rPr>
      </w:pPr>
      <w:r w:rsidRPr="00415E23">
        <w:rPr>
          <w:rFonts w:ascii="Bookman Old Style" w:hAnsi="Bookman Old Style"/>
          <w:color w:val="000000" w:themeColor="text1"/>
          <w14:shadow w14:blurRad="50800" w14:dist="38100" w14:dir="2700000" w14:sx="100000" w14:sy="100000" w14:kx="0" w14:ky="0" w14:algn="tl">
            <w14:srgbClr w14:val="000000">
              <w14:alpha w14:val="60000"/>
            </w14:srgbClr>
          </w14:shadow>
        </w:rPr>
        <w:t>............………………….………………………</w:t>
      </w:r>
    </w:p>
    <w:p w14:paraId="24DFF2F4" w14:textId="01C1A353" w:rsidR="00EB558D" w:rsidRPr="00415E23" w:rsidRDefault="00EB558D" w:rsidP="00EB558D">
      <w:pPr>
        <w:jc w:val="center"/>
        <w:rPr>
          <w:rFonts w:ascii="Bookman Old Style" w:hAnsi="Bookman Old Style"/>
          <w:b/>
          <w:bCs/>
          <w:color w:val="000000" w:themeColor="text1"/>
          <w14:shadow w14:blurRad="50800" w14:dist="38100" w14:dir="2700000" w14:sx="100000" w14:sy="100000" w14:kx="0" w14:ky="0" w14:algn="tl">
            <w14:srgbClr w14:val="000000">
              <w14:alpha w14:val="60000"/>
            </w14:srgbClr>
          </w14:shadow>
        </w:rPr>
      </w:pPr>
      <w:r w:rsidRPr="00415E23">
        <w:rPr>
          <w:rFonts w:ascii="Bookman Old Style" w:hAnsi="Bookman Old Style"/>
          <w:b/>
          <w:bCs/>
          <w:color w:val="000000" w:themeColor="text1"/>
          <w14:shadow w14:blurRad="50800" w14:dist="38100" w14:dir="2700000" w14:sx="100000" w14:sy="100000" w14:kx="0" w14:ky="0" w14:algn="tl">
            <w14:srgbClr w14:val="000000">
              <w14:alpha w14:val="60000"/>
            </w14:srgbClr>
          </w14:shadow>
        </w:rPr>
        <w:t>Clerk to the House of Representatives</w:t>
      </w:r>
    </w:p>
    <w:sectPr w:rsidR="00EB558D" w:rsidRPr="00415E23" w:rsidSect="00415E23">
      <w:footerReference w:type="even" r:id="rId6"/>
      <w:footerReference w:type="default" r:id="rId7"/>
      <w:pgSz w:w="12240" w:h="15840"/>
      <w:pgMar w:top="720" w:right="1440" w:bottom="9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76B69" w14:textId="77777777" w:rsidR="00D77F75" w:rsidRDefault="00D77F75">
      <w:r>
        <w:separator/>
      </w:r>
    </w:p>
  </w:endnote>
  <w:endnote w:type="continuationSeparator" w:id="0">
    <w:p w14:paraId="4A4BCD10" w14:textId="77777777" w:rsidR="00D77F75" w:rsidRDefault="00D77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28385249"/>
      <w:docPartObj>
        <w:docPartGallery w:val="Page Numbers (Bottom of Page)"/>
        <w:docPartUnique/>
      </w:docPartObj>
    </w:sdtPr>
    <w:sdtEndPr>
      <w:rPr>
        <w:rStyle w:val="PageNumber"/>
      </w:rPr>
    </w:sdtEndPr>
    <w:sdtContent>
      <w:p w14:paraId="3643A49A" w14:textId="77777777" w:rsidR="00E41202" w:rsidRDefault="00B64BC1" w:rsidP="00721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C0E6B3B" w14:textId="77777777" w:rsidR="00E41202" w:rsidRDefault="00D77F75" w:rsidP="00E412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97134003"/>
      <w:docPartObj>
        <w:docPartGallery w:val="Page Numbers (Bottom of Page)"/>
        <w:docPartUnique/>
      </w:docPartObj>
    </w:sdtPr>
    <w:sdtEndPr>
      <w:rPr>
        <w:rStyle w:val="PageNumber"/>
      </w:rPr>
    </w:sdtEndPr>
    <w:sdtContent>
      <w:p w14:paraId="6C365799" w14:textId="77777777" w:rsidR="00E41202" w:rsidRDefault="00B64BC1" w:rsidP="007217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6426">
          <w:rPr>
            <w:rStyle w:val="PageNumber"/>
            <w:noProof/>
          </w:rPr>
          <w:t>1</w:t>
        </w:r>
        <w:r>
          <w:rPr>
            <w:rStyle w:val="PageNumber"/>
          </w:rPr>
          <w:fldChar w:fldCharType="end"/>
        </w:r>
      </w:p>
    </w:sdtContent>
  </w:sdt>
  <w:p w14:paraId="7BCB7F7D" w14:textId="77777777" w:rsidR="00E41202" w:rsidRDefault="00D77F75" w:rsidP="00E4120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8082" w14:textId="77777777" w:rsidR="00D77F75" w:rsidRDefault="00D77F75">
      <w:r>
        <w:separator/>
      </w:r>
    </w:p>
  </w:footnote>
  <w:footnote w:type="continuationSeparator" w:id="0">
    <w:p w14:paraId="45511D4C" w14:textId="77777777" w:rsidR="00D77F75" w:rsidRDefault="00D77F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8D"/>
    <w:rsid w:val="00415E23"/>
    <w:rsid w:val="008A0BEC"/>
    <w:rsid w:val="00B64BC1"/>
    <w:rsid w:val="00C921B4"/>
    <w:rsid w:val="00D76426"/>
    <w:rsid w:val="00D77F75"/>
    <w:rsid w:val="00E365E4"/>
    <w:rsid w:val="00E86133"/>
    <w:rsid w:val="00EB558D"/>
    <w:rsid w:val="00F33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AC691"/>
  <w15:chartTrackingRefBased/>
  <w15:docId w15:val="{4124FD03-966C-924E-9198-F24F77A3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B558D"/>
    <w:pPr>
      <w:tabs>
        <w:tab w:val="center" w:pos="4513"/>
        <w:tab w:val="right" w:pos="9026"/>
      </w:tabs>
    </w:pPr>
  </w:style>
  <w:style w:type="character" w:customStyle="1" w:styleId="FooterChar">
    <w:name w:val="Footer Char"/>
    <w:basedOn w:val="DefaultParagraphFont"/>
    <w:link w:val="Footer"/>
    <w:uiPriority w:val="99"/>
    <w:rsid w:val="00EB558D"/>
  </w:style>
  <w:style w:type="character" w:styleId="PageNumber">
    <w:name w:val="page number"/>
    <w:basedOn w:val="DefaultParagraphFont"/>
    <w:uiPriority w:val="99"/>
    <w:semiHidden/>
    <w:unhideWhenUsed/>
    <w:rsid w:val="00EB558D"/>
  </w:style>
  <w:style w:type="table" w:styleId="TableGrid">
    <w:name w:val="Table Grid"/>
    <w:basedOn w:val="TableNormal"/>
    <w:uiPriority w:val="39"/>
    <w:rsid w:val="00EB5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 Redhead</dc:creator>
  <cp:keywords/>
  <dc:description/>
  <cp:lastModifiedBy>Genelle Harry</cp:lastModifiedBy>
  <cp:revision>5</cp:revision>
  <dcterms:created xsi:type="dcterms:W3CDTF">2022-11-28T15:20:00Z</dcterms:created>
  <dcterms:modified xsi:type="dcterms:W3CDTF">2022-11-28T16:07:00Z</dcterms:modified>
</cp:coreProperties>
</file>